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CD" w:rsidRPr="004C0904" w:rsidRDefault="002E04CD" w:rsidP="00A772A3">
      <w:pPr>
        <w:spacing w:before="120" w:after="0" w:line="288" w:lineRule="auto"/>
        <w:jc w:val="center"/>
        <w:rPr>
          <w:b/>
          <w:color w:val="auto"/>
          <w:u w:val="none"/>
        </w:rPr>
      </w:pPr>
      <w:r>
        <w:rPr>
          <w:b/>
          <w:color w:val="auto"/>
          <w:u w:val="none"/>
        </w:rPr>
        <w:t>PHỤ LỤC 5</w:t>
      </w:r>
    </w:p>
    <w:p w:rsidR="002E04CD" w:rsidRPr="004C0904" w:rsidRDefault="002E04CD" w:rsidP="00A772A3">
      <w:pPr>
        <w:spacing w:before="120" w:after="0" w:line="288" w:lineRule="auto"/>
        <w:jc w:val="center"/>
        <w:rPr>
          <w:b/>
          <w:color w:val="auto"/>
          <w:u w:val="none"/>
        </w:rPr>
      </w:pPr>
      <w:r w:rsidRPr="004C0904">
        <w:rPr>
          <w:b/>
          <w:color w:val="auto"/>
          <w:u w:val="none"/>
        </w:rPr>
        <w:t>DANH MỤC HỒ SƠ VAY VỐN</w:t>
      </w:r>
    </w:p>
    <w:p w:rsidR="002E04CD" w:rsidRPr="004C0904" w:rsidRDefault="002E04CD" w:rsidP="00F34253">
      <w:pPr>
        <w:spacing w:after="0" w:line="288" w:lineRule="auto"/>
        <w:ind w:left="-142" w:firstLine="0"/>
        <w:rPr>
          <w:color w:val="auto"/>
          <w:u w:val="none"/>
        </w:rPr>
      </w:pPr>
      <w:r w:rsidRPr="004C0904">
        <w:rPr>
          <w:color w:val="auto"/>
          <w:u w:val="none"/>
        </w:rPr>
        <w:t>Danh mục các tài liệu dưới đây được đưa ra với mục đích hướng dẫ</w:t>
      </w:r>
      <w:r>
        <w:rPr>
          <w:color w:val="auto"/>
          <w:u w:val="none"/>
        </w:rPr>
        <w:t xml:space="preserve">n. </w:t>
      </w:r>
      <w:r w:rsidRPr="004C0904">
        <w:rPr>
          <w:color w:val="auto"/>
          <w:u w:val="none"/>
        </w:rPr>
        <w:t xml:space="preserve">Cán bộ tín dụng (CBTD) được khuyến khích thu thập </w:t>
      </w:r>
      <w:r>
        <w:rPr>
          <w:color w:val="auto"/>
          <w:u w:val="none"/>
        </w:rPr>
        <w:t xml:space="preserve">tối đa các thông tin về Bên vay, không giới hạn </w:t>
      </w:r>
      <w:r w:rsidRPr="004C0904">
        <w:rPr>
          <w:color w:val="auto"/>
          <w:u w:val="none"/>
        </w:rPr>
        <w:t xml:space="preserve">những tài liệu </w:t>
      </w:r>
      <w:r>
        <w:rPr>
          <w:color w:val="auto"/>
          <w:u w:val="none"/>
        </w:rPr>
        <w:t>dưới đây</w:t>
      </w:r>
      <w:r w:rsidRPr="004C0904">
        <w:rPr>
          <w:color w:val="auto"/>
          <w:u w:val="none"/>
        </w:rPr>
        <w:t>:</w:t>
      </w:r>
    </w:p>
    <w:p w:rsidR="002E04CD" w:rsidRDefault="002E04CD" w:rsidP="00A772A3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contextualSpacing w:val="0"/>
        <w:rPr>
          <w:b/>
          <w:color w:val="auto"/>
          <w:u w:val="none"/>
        </w:rPr>
      </w:pPr>
      <w:r w:rsidRPr="004C0904">
        <w:rPr>
          <w:b/>
          <w:color w:val="auto"/>
          <w:u w:val="none"/>
        </w:rPr>
        <w:t>Hồ sơ pháp lý</w:t>
      </w:r>
    </w:p>
    <w:p w:rsidR="002E04CD" w:rsidRPr="004C0904" w:rsidRDefault="002E04CD" w:rsidP="00F34253">
      <w:pPr>
        <w:pStyle w:val="ListParagraph"/>
        <w:numPr>
          <w:ilvl w:val="0"/>
          <w:numId w:val="3"/>
        </w:numPr>
        <w:spacing w:after="0" w:line="288" w:lineRule="auto"/>
        <w:ind w:left="714" w:hanging="357"/>
        <w:contextualSpacing w:val="0"/>
        <w:rPr>
          <w:color w:val="auto"/>
          <w:u w:val="none"/>
        </w:rPr>
      </w:pPr>
      <w:r w:rsidRPr="004C0904">
        <w:rPr>
          <w:color w:val="auto"/>
          <w:u w:val="none"/>
        </w:rPr>
        <w:t>Giấy chứng nhận đăng ký kinh doanh</w:t>
      </w:r>
      <w:r>
        <w:rPr>
          <w:color w:val="auto"/>
          <w:u w:val="none"/>
        </w:rPr>
        <w:t>;</w:t>
      </w:r>
      <w:r w:rsidRPr="004C0904">
        <w:rPr>
          <w:color w:val="auto"/>
          <w:u w:val="none"/>
        </w:rPr>
        <w:t xml:space="preserve"> </w:t>
      </w:r>
    </w:p>
    <w:p w:rsidR="002E04CD" w:rsidRPr="004C0904" w:rsidRDefault="002E04CD" w:rsidP="00F34253">
      <w:pPr>
        <w:pStyle w:val="ListParagraph"/>
        <w:numPr>
          <w:ilvl w:val="0"/>
          <w:numId w:val="3"/>
        </w:numPr>
        <w:spacing w:after="0" w:line="288" w:lineRule="auto"/>
        <w:ind w:left="714" w:hanging="357"/>
        <w:contextualSpacing w:val="0"/>
        <w:rPr>
          <w:color w:val="auto"/>
          <w:u w:val="none"/>
        </w:rPr>
      </w:pPr>
      <w:r w:rsidRPr="004C0904">
        <w:rPr>
          <w:color w:val="auto"/>
          <w:u w:val="none"/>
        </w:rPr>
        <w:t>Quyết định thành lập (nếu có)</w:t>
      </w:r>
      <w:r>
        <w:rPr>
          <w:color w:val="auto"/>
          <w:u w:val="none"/>
        </w:rPr>
        <w:t>;</w:t>
      </w:r>
    </w:p>
    <w:p w:rsidR="002E04CD" w:rsidRPr="004C0904" w:rsidRDefault="002E04CD" w:rsidP="00F34253">
      <w:pPr>
        <w:pStyle w:val="ListParagraph"/>
        <w:numPr>
          <w:ilvl w:val="0"/>
          <w:numId w:val="3"/>
        </w:numPr>
        <w:spacing w:after="0" w:line="288" w:lineRule="auto"/>
        <w:ind w:left="714" w:hanging="357"/>
        <w:contextualSpacing w:val="0"/>
        <w:rPr>
          <w:color w:val="auto"/>
          <w:u w:val="none"/>
        </w:rPr>
      </w:pPr>
      <w:r w:rsidRPr="004C0904">
        <w:rPr>
          <w:color w:val="auto"/>
          <w:u w:val="none"/>
        </w:rPr>
        <w:t>Điều lệ tổ chức và hoạt động</w:t>
      </w:r>
      <w:r>
        <w:rPr>
          <w:color w:val="auto"/>
          <w:u w:val="none"/>
        </w:rPr>
        <w:t>;</w:t>
      </w:r>
      <w:r w:rsidRPr="004C0904">
        <w:rPr>
          <w:color w:val="auto"/>
          <w:u w:val="none"/>
        </w:rPr>
        <w:t xml:space="preserve"> </w:t>
      </w:r>
    </w:p>
    <w:p w:rsidR="002E04CD" w:rsidRPr="004C0904" w:rsidRDefault="002E04CD" w:rsidP="00F34253">
      <w:pPr>
        <w:pStyle w:val="ListParagraph"/>
        <w:numPr>
          <w:ilvl w:val="0"/>
          <w:numId w:val="3"/>
        </w:numPr>
        <w:spacing w:after="0" w:line="288" w:lineRule="auto"/>
        <w:ind w:left="714" w:hanging="357"/>
        <w:contextualSpacing w:val="0"/>
        <w:rPr>
          <w:color w:val="auto"/>
          <w:u w:val="none"/>
        </w:rPr>
      </w:pPr>
      <w:r w:rsidRPr="004C0904">
        <w:rPr>
          <w:color w:val="auto"/>
          <w:u w:val="none"/>
        </w:rPr>
        <w:t>Quyết định bổ nhiệm người đại diện theo pháp luật và Kế toán trưởng kèm theo bản sao chứ</w:t>
      </w:r>
      <w:r>
        <w:rPr>
          <w:color w:val="auto"/>
          <w:u w:val="none"/>
        </w:rPr>
        <w:t>ng minh thư nhân dân;</w:t>
      </w:r>
    </w:p>
    <w:p w:rsidR="002E04CD" w:rsidRPr="004C0904" w:rsidRDefault="002E04CD" w:rsidP="00F34253">
      <w:pPr>
        <w:pStyle w:val="ListParagraph"/>
        <w:numPr>
          <w:ilvl w:val="0"/>
          <w:numId w:val="3"/>
        </w:numPr>
        <w:spacing w:after="0" w:line="288" w:lineRule="auto"/>
        <w:ind w:left="714" w:hanging="357"/>
        <w:contextualSpacing w:val="0"/>
        <w:rPr>
          <w:color w:val="auto"/>
          <w:u w:val="none"/>
        </w:rPr>
      </w:pPr>
      <w:r w:rsidRPr="004C0904">
        <w:rPr>
          <w:color w:val="auto"/>
          <w:u w:val="none"/>
        </w:rPr>
        <w:t>Danh sách các công ty liên doanh, liên kết</w:t>
      </w:r>
      <w:r>
        <w:rPr>
          <w:color w:val="auto"/>
          <w:u w:val="none"/>
        </w:rPr>
        <w:t>;</w:t>
      </w:r>
    </w:p>
    <w:p w:rsidR="002E04CD" w:rsidRPr="004C0904" w:rsidRDefault="002E04CD" w:rsidP="00F34253">
      <w:pPr>
        <w:pStyle w:val="ListParagraph"/>
        <w:numPr>
          <w:ilvl w:val="0"/>
          <w:numId w:val="3"/>
        </w:numPr>
        <w:spacing w:after="0" w:line="288" w:lineRule="auto"/>
        <w:ind w:left="714" w:hanging="357"/>
        <w:contextualSpacing w:val="0"/>
        <w:rPr>
          <w:color w:val="auto"/>
          <w:u w:val="none"/>
        </w:rPr>
      </w:pPr>
      <w:r w:rsidRPr="004C0904">
        <w:rPr>
          <w:color w:val="auto"/>
          <w:u w:val="none"/>
        </w:rPr>
        <w:t>Biên bản góp vốn, danh s</w:t>
      </w:r>
      <w:r>
        <w:rPr>
          <w:color w:val="auto"/>
          <w:u w:val="none"/>
        </w:rPr>
        <w:t>ách thành viên;</w:t>
      </w:r>
    </w:p>
    <w:p w:rsidR="002E04CD" w:rsidRPr="004C0904" w:rsidRDefault="002E04CD" w:rsidP="00F34253">
      <w:pPr>
        <w:pStyle w:val="ListParagraph"/>
        <w:numPr>
          <w:ilvl w:val="0"/>
          <w:numId w:val="3"/>
        </w:numPr>
        <w:spacing w:after="0" w:line="288" w:lineRule="auto"/>
        <w:ind w:left="714" w:hanging="357"/>
        <w:contextualSpacing w:val="0"/>
        <w:rPr>
          <w:color w:val="auto"/>
          <w:u w:val="none"/>
        </w:rPr>
      </w:pPr>
      <w:r w:rsidRPr="004C0904">
        <w:rPr>
          <w:color w:val="auto"/>
          <w:u w:val="none"/>
        </w:rPr>
        <w:t>Giấy chứng nhận góp vốn của các thành viên</w:t>
      </w:r>
      <w:r>
        <w:rPr>
          <w:color w:val="auto"/>
          <w:u w:val="none"/>
        </w:rPr>
        <w:t>;</w:t>
      </w:r>
    </w:p>
    <w:p w:rsidR="002E04CD" w:rsidRPr="004C0904" w:rsidRDefault="002E04CD" w:rsidP="00F34253">
      <w:pPr>
        <w:pStyle w:val="ListParagraph"/>
        <w:numPr>
          <w:ilvl w:val="0"/>
          <w:numId w:val="3"/>
        </w:numPr>
        <w:spacing w:after="0" w:line="288" w:lineRule="auto"/>
        <w:ind w:left="714" w:hanging="357"/>
        <w:contextualSpacing w:val="0"/>
        <w:rPr>
          <w:color w:val="auto"/>
          <w:u w:val="none"/>
        </w:rPr>
      </w:pPr>
      <w:r w:rsidRPr="004C0904">
        <w:rPr>
          <w:color w:val="auto"/>
          <w:u w:val="none"/>
        </w:rPr>
        <w:t>Biên bản họp hội đồng quản trị về quyết định vay vốn</w:t>
      </w:r>
      <w:r>
        <w:rPr>
          <w:color w:val="auto"/>
          <w:u w:val="none"/>
        </w:rPr>
        <w:t>;</w:t>
      </w:r>
    </w:p>
    <w:p w:rsidR="002E04CD" w:rsidRPr="004C0904" w:rsidRDefault="002E04CD" w:rsidP="00F34253">
      <w:pPr>
        <w:pStyle w:val="ListParagraph"/>
        <w:numPr>
          <w:ilvl w:val="0"/>
          <w:numId w:val="3"/>
        </w:numPr>
        <w:spacing w:after="0" w:line="288" w:lineRule="auto"/>
        <w:ind w:left="714" w:hanging="357"/>
        <w:contextualSpacing w:val="0"/>
        <w:rPr>
          <w:color w:val="auto"/>
          <w:u w:val="none"/>
        </w:rPr>
      </w:pPr>
      <w:r w:rsidRPr="004C0904">
        <w:rPr>
          <w:color w:val="auto"/>
          <w:u w:val="none"/>
        </w:rPr>
        <w:t>Văn bản uỷ quyền hoặc bảo lãnh vay vốn của cơ quan cấp trên có thẩm quyền (nếu có) (đối với đơn vị hạch toán phụ thuộc)</w:t>
      </w:r>
      <w:r w:rsidRPr="004C0904">
        <w:rPr>
          <w:rStyle w:val="FootnoteReference"/>
          <w:color w:val="auto"/>
          <w:u w:val="none"/>
        </w:rPr>
        <w:footnoteReference w:id="1"/>
      </w:r>
      <w:r>
        <w:rPr>
          <w:color w:val="auto"/>
          <w:u w:val="none"/>
        </w:rPr>
        <w:t>;</w:t>
      </w:r>
      <w:r w:rsidRPr="004C0904">
        <w:rPr>
          <w:color w:val="auto"/>
          <w:u w:val="none"/>
        </w:rPr>
        <w:t xml:space="preserve"> </w:t>
      </w:r>
    </w:p>
    <w:p w:rsidR="002E04CD" w:rsidRPr="004C0904" w:rsidRDefault="002E04CD" w:rsidP="00F34253">
      <w:pPr>
        <w:pStyle w:val="ListParagraph"/>
        <w:numPr>
          <w:ilvl w:val="0"/>
          <w:numId w:val="3"/>
        </w:numPr>
        <w:spacing w:after="0" w:line="288" w:lineRule="auto"/>
        <w:ind w:left="714" w:hanging="357"/>
        <w:contextualSpacing w:val="0"/>
        <w:rPr>
          <w:color w:val="auto"/>
          <w:u w:val="none"/>
        </w:rPr>
      </w:pPr>
      <w:r w:rsidRPr="004C0904">
        <w:rPr>
          <w:color w:val="auto"/>
          <w:u w:val="none"/>
        </w:rPr>
        <w:t>Các giấy tờ khác có liên quan (mẫu dấu, chữ ký, đăng ký thuế...)</w:t>
      </w:r>
      <w:r>
        <w:rPr>
          <w:color w:val="auto"/>
          <w:u w:val="none"/>
        </w:rPr>
        <w:t>.</w:t>
      </w:r>
    </w:p>
    <w:p w:rsidR="002E04CD" w:rsidRPr="004C0904" w:rsidRDefault="002E04CD" w:rsidP="00A772A3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contextualSpacing w:val="0"/>
        <w:rPr>
          <w:b/>
          <w:color w:val="auto"/>
          <w:u w:val="none"/>
        </w:rPr>
      </w:pPr>
      <w:r w:rsidRPr="004C0904">
        <w:rPr>
          <w:b/>
          <w:color w:val="auto"/>
          <w:u w:val="none"/>
        </w:rPr>
        <w:t>Hồ sơ dự án</w:t>
      </w:r>
    </w:p>
    <w:p w:rsidR="002E04CD" w:rsidRPr="004C0904" w:rsidRDefault="002E04CD" w:rsidP="00F34253">
      <w:pPr>
        <w:spacing w:after="0" w:line="288" w:lineRule="auto"/>
        <w:rPr>
          <w:color w:val="auto"/>
          <w:u w:val="none"/>
        </w:rPr>
      </w:pPr>
      <w:r w:rsidRPr="004C0904">
        <w:rPr>
          <w:color w:val="auto"/>
          <w:u w:val="none"/>
        </w:rPr>
        <w:t>1. Giấy đề nghị vay vốn (theo mẫu của BQLDA)</w:t>
      </w:r>
    </w:p>
    <w:p w:rsidR="002E04CD" w:rsidRPr="004C0904" w:rsidRDefault="002E04CD" w:rsidP="00F34253">
      <w:pPr>
        <w:spacing w:after="0" w:line="288" w:lineRule="auto"/>
        <w:rPr>
          <w:color w:val="auto"/>
          <w:u w:val="none"/>
        </w:rPr>
      </w:pPr>
      <w:r w:rsidRPr="004C0904">
        <w:rPr>
          <w:color w:val="auto"/>
          <w:u w:val="none"/>
        </w:rPr>
        <w:t>2. Báo cáo nghiên cứu khả thi của KCN</w:t>
      </w:r>
    </w:p>
    <w:p w:rsidR="002E04CD" w:rsidRPr="004C0904" w:rsidRDefault="002E04CD" w:rsidP="00F34253">
      <w:pPr>
        <w:spacing w:after="0" w:line="288" w:lineRule="auto"/>
        <w:rPr>
          <w:color w:val="auto"/>
          <w:u w:val="none"/>
        </w:rPr>
      </w:pPr>
      <w:r w:rsidRPr="004C0904">
        <w:rPr>
          <w:color w:val="auto"/>
          <w:u w:val="none"/>
        </w:rPr>
        <w:t>3. Báo cáo đầu tư dự án XLNTTT</w:t>
      </w:r>
    </w:p>
    <w:p w:rsidR="002E04CD" w:rsidRPr="004C0904" w:rsidRDefault="002E04CD" w:rsidP="00F34253">
      <w:pPr>
        <w:spacing w:after="0" w:line="288" w:lineRule="auto"/>
        <w:rPr>
          <w:color w:val="auto"/>
          <w:u w:val="none"/>
        </w:rPr>
      </w:pPr>
      <w:r>
        <w:rPr>
          <w:color w:val="auto"/>
          <w:u w:val="none"/>
        </w:rPr>
        <w:t>4</w:t>
      </w:r>
      <w:r w:rsidRPr="004C0904">
        <w:rPr>
          <w:color w:val="auto"/>
          <w:u w:val="none"/>
        </w:rPr>
        <w:t>. Quyết định phê duyệt dự án đầu tư của cấp có thẩm quyề</w:t>
      </w:r>
      <w:r>
        <w:rPr>
          <w:color w:val="auto"/>
          <w:u w:val="none"/>
        </w:rPr>
        <w:t>n</w:t>
      </w:r>
    </w:p>
    <w:p w:rsidR="002E04CD" w:rsidRPr="004C0904" w:rsidRDefault="002E04CD" w:rsidP="00F34253">
      <w:pPr>
        <w:tabs>
          <w:tab w:val="left" w:pos="1365"/>
        </w:tabs>
        <w:spacing w:after="0" w:line="288" w:lineRule="auto"/>
        <w:rPr>
          <w:color w:val="auto"/>
          <w:u w:val="none"/>
        </w:rPr>
      </w:pPr>
      <w:r>
        <w:rPr>
          <w:color w:val="auto"/>
          <w:u w:val="none"/>
        </w:rPr>
        <w:t>5</w:t>
      </w:r>
      <w:r w:rsidRPr="004C0904">
        <w:rPr>
          <w:color w:val="auto"/>
          <w:u w:val="none"/>
        </w:rPr>
        <w:t>. Báo cáo đánh giá tác động môi trường của KCN và trạm XLNTTT kèm theo quyết định phê duyệt</w:t>
      </w:r>
    </w:p>
    <w:p w:rsidR="002E04CD" w:rsidRDefault="002E04CD" w:rsidP="00F34253">
      <w:pPr>
        <w:tabs>
          <w:tab w:val="left" w:pos="1365"/>
        </w:tabs>
        <w:spacing w:after="0" w:line="288" w:lineRule="auto"/>
        <w:rPr>
          <w:color w:val="auto"/>
          <w:u w:val="none"/>
        </w:rPr>
      </w:pPr>
      <w:r>
        <w:rPr>
          <w:color w:val="auto"/>
          <w:u w:val="none"/>
        </w:rPr>
        <w:t>6</w:t>
      </w:r>
      <w:r w:rsidRPr="004C0904">
        <w:rPr>
          <w:color w:val="auto"/>
          <w:u w:val="none"/>
        </w:rPr>
        <w:t xml:space="preserve">. Kế hoạch quản lý môi trường (EMP) được lập theo hướng dẫn của NHTG </w:t>
      </w:r>
      <w:r>
        <w:rPr>
          <w:color w:val="auto"/>
          <w:u w:val="none"/>
        </w:rPr>
        <w:t>trong Khung quản lý môi trường và xã hội</w:t>
      </w:r>
    </w:p>
    <w:p w:rsidR="002E04CD" w:rsidRPr="004C0904" w:rsidRDefault="002E04CD" w:rsidP="00F34253">
      <w:pPr>
        <w:tabs>
          <w:tab w:val="left" w:pos="1365"/>
        </w:tabs>
        <w:spacing w:after="0" w:line="288" w:lineRule="auto"/>
        <w:rPr>
          <w:color w:val="auto"/>
          <w:u w:val="none"/>
        </w:rPr>
      </w:pPr>
      <w:r>
        <w:rPr>
          <w:color w:val="auto"/>
          <w:u w:val="none"/>
        </w:rPr>
        <w:t>7</w:t>
      </w:r>
      <w:r w:rsidRPr="004C0904">
        <w:rPr>
          <w:color w:val="auto"/>
          <w:u w:val="none"/>
        </w:rPr>
        <w:t>. Giấy chứng nhận quyền sử dụng đất, quyết định giao đất, cho thuê đất, hợp đồng thuê đất/thuê nhà xưởng để thực hiện dự</w:t>
      </w:r>
      <w:r>
        <w:rPr>
          <w:color w:val="auto"/>
          <w:u w:val="none"/>
        </w:rPr>
        <w:t xml:space="preserve"> án</w:t>
      </w:r>
    </w:p>
    <w:p w:rsidR="002E04CD" w:rsidRPr="00F34253" w:rsidRDefault="002E04CD" w:rsidP="00F34253">
      <w:pPr>
        <w:tabs>
          <w:tab w:val="left" w:pos="1365"/>
        </w:tabs>
        <w:spacing w:after="0" w:line="288" w:lineRule="auto"/>
        <w:rPr>
          <w:color w:val="auto"/>
          <w:u w:val="none"/>
        </w:rPr>
      </w:pPr>
      <w:r>
        <w:rPr>
          <w:color w:val="auto"/>
          <w:u w:val="none"/>
        </w:rPr>
        <w:t>8</w:t>
      </w:r>
      <w:r w:rsidRPr="00F34253">
        <w:rPr>
          <w:color w:val="auto"/>
          <w:u w:val="none"/>
        </w:rPr>
        <w:t xml:space="preserve">. Thiết kế cơ sở và dự toán chi tiết </w:t>
      </w:r>
    </w:p>
    <w:p w:rsidR="002E04CD" w:rsidRPr="004C0904" w:rsidRDefault="002E04CD" w:rsidP="00F34253">
      <w:pPr>
        <w:spacing w:after="0" w:line="288" w:lineRule="auto"/>
        <w:rPr>
          <w:color w:val="auto"/>
          <w:u w:val="none"/>
        </w:rPr>
      </w:pPr>
      <w:r>
        <w:rPr>
          <w:color w:val="auto"/>
          <w:u w:val="none"/>
        </w:rPr>
        <w:t>9</w:t>
      </w:r>
      <w:r w:rsidRPr="004C0904">
        <w:rPr>
          <w:color w:val="auto"/>
          <w:u w:val="none"/>
        </w:rPr>
        <w:t>. Quyết định phê duyệt thiết kế cơ sở  và dự toán chi tiết của cấp có thẩm quyền</w:t>
      </w:r>
      <w:r w:rsidRPr="004C0904">
        <w:rPr>
          <w:rStyle w:val="FootnoteReference"/>
          <w:color w:val="auto"/>
          <w:u w:val="none"/>
        </w:rPr>
        <w:footnoteReference w:id="2"/>
      </w:r>
    </w:p>
    <w:p w:rsidR="002E04CD" w:rsidRDefault="002E04CD" w:rsidP="003B603C">
      <w:pPr>
        <w:spacing w:after="0" w:line="288" w:lineRule="auto"/>
        <w:rPr>
          <w:color w:val="auto"/>
          <w:u w:val="none"/>
        </w:rPr>
      </w:pPr>
      <w:r>
        <w:rPr>
          <w:color w:val="auto"/>
          <w:u w:val="none"/>
        </w:rPr>
        <w:t>10</w:t>
      </w:r>
      <w:r w:rsidRPr="004C0904">
        <w:rPr>
          <w:color w:val="auto"/>
          <w:u w:val="none"/>
        </w:rPr>
        <w:t>. Tài liệu miêu tả trách nhiệm của các bên liên quan đến dự án (đơn vị thiết kế, thi công, lắp đặt, cung cấp thiết bị, vận hành, bảo dưỡ</w:t>
      </w:r>
      <w:r>
        <w:rPr>
          <w:color w:val="auto"/>
          <w:u w:val="none"/>
        </w:rPr>
        <w:t xml:space="preserve">ng…); </w:t>
      </w:r>
    </w:p>
    <w:p w:rsidR="002E04CD" w:rsidRPr="004C0904" w:rsidRDefault="002E04CD" w:rsidP="003B603C">
      <w:pPr>
        <w:spacing w:after="0" w:line="288" w:lineRule="auto"/>
        <w:rPr>
          <w:color w:val="auto"/>
          <w:u w:val="none"/>
        </w:rPr>
      </w:pPr>
      <w:r>
        <w:rPr>
          <w:color w:val="auto"/>
          <w:u w:val="none"/>
        </w:rPr>
        <w:t>11</w:t>
      </w:r>
      <w:r w:rsidRPr="004C0904">
        <w:rPr>
          <w:color w:val="auto"/>
          <w:u w:val="none"/>
        </w:rPr>
        <w:t>. Kế hoạch xử lý chất độc và bùn thả</w:t>
      </w:r>
      <w:r>
        <w:rPr>
          <w:color w:val="auto"/>
          <w:u w:val="none"/>
        </w:rPr>
        <w:t>i;</w:t>
      </w:r>
    </w:p>
    <w:p w:rsidR="002E04CD" w:rsidRDefault="002E04CD" w:rsidP="00F34253">
      <w:pPr>
        <w:spacing w:after="0" w:line="288" w:lineRule="auto"/>
        <w:rPr>
          <w:color w:val="auto"/>
          <w:u w:val="none"/>
        </w:rPr>
      </w:pPr>
      <w:r w:rsidRPr="004C0904">
        <w:rPr>
          <w:color w:val="auto"/>
          <w:u w:val="none"/>
        </w:rPr>
        <w:t>1</w:t>
      </w:r>
      <w:r>
        <w:rPr>
          <w:color w:val="auto"/>
          <w:u w:val="none"/>
        </w:rPr>
        <w:t>2</w:t>
      </w:r>
      <w:r w:rsidRPr="004C0904">
        <w:rPr>
          <w:color w:val="auto"/>
          <w:u w:val="none"/>
        </w:rPr>
        <w:t>.</w:t>
      </w:r>
      <w:r w:rsidRPr="004C0904">
        <w:rPr>
          <w:color w:val="auto"/>
          <w:u w:val="none"/>
        </w:rPr>
        <w:tab/>
      </w:r>
      <w:r w:rsidRPr="004C0904">
        <w:rPr>
          <w:color w:val="auto"/>
          <w:u w:val="none"/>
        </w:rPr>
        <w:tab/>
      </w:r>
      <w:r>
        <w:rPr>
          <w:color w:val="auto"/>
          <w:u w:val="none"/>
        </w:rPr>
        <w:t>Hồ sơ</w:t>
      </w:r>
      <w:r w:rsidRPr="004C0904">
        <w:rPr>
          <w:color w:val="auto"/>
          <w:u w:val="none"/>
        </w:rPr>
        <w:t xml:space="preserve"> đấu thầu</w:t>
      </w:r>
      <w:r>
        <w:rPr>
          <w:color w:val="auto"/>
          <w:u w:val="none"/>
        </w:rPr>
        <w:t xml:space="preserve"> (bao gồm nhưng không hạn chế những tài liệu sau)</w:t>
      </w:r>
      <w:r w:rsidRPr="004C0904">
        <w:rPr>
          <w:color w:val="auto"/>
          <w:u w:val="none"/>
        </w:rPr>
        <w:t>:</w:t>
      </w:r>
      <w:r>
        <w:rPr>
          <w:color w:val="auto"/>
          <w:u w:val="none"/>
        </w:rPr>
        <w:t xml:space="preserve"> i)</w:t>
      </w:r>
      <w:r w:rsidRPr="004C0904">
        <w:rPr>
          <w:color w:val="auto"/>
          <w:u w:val="none"/>
        </w:rPr>
        <w:t xml:space="preserve"> phê duyệt kế hoạch đấu thầu, </w:t>
      </w:r>
      <w:r>
        <w:rPr>
          <w:color w:val="auto"/>
          <w:u w:val="none"/>
        </w:rPr>
        <w:t xml:space="preserve">ii) hồ sơ mời thầu, iii) báo cáo đánh giá hồ sơ dự thầu, iv) thẩm định và phê duyệt </w:t>
      </w:r>
      <w:r w:rsidRPr="004C0904">
        <w:rPr>
          <w:color w:val="auto"/>
          <w:u w:val="none"/>
        </w:rPr>
        <w:t xml:space="preserve">kết quả đấu thầu, </w:t>
      </w:r>
      <w:r>
        <w:rPr>
          <w:color w:val="auto"/>
          <w:u w:val="none"/>
        </w:rPr>
        <w:t xml:space="preserve">v) thông báo kết quả đấu thầu </w:t>
      </w:r>
      <w:r w:rsidRPr="004C0904">
        <w:rPr>
          <w:color w:val="auto"/>
          <w:u w:val="none"/>
        </w:rPr>
        <w:t xml:space="preserve">và các hợp đồng kinh tế </w:t>
      </w:r>
      <w:r>
        <w:rPr>
          <w:color w:val="auto"/>
          <w:u w:val="none"/>
        </w:rPr>
        <w:t xml:space="preserve">ký kết với nhà thầu </w:t>
      </w:r>
      <w:r w:rsidRPr="004C0904">
        <w:rPr>
          <w:color w:val="auto"/>
          <w:u w:val="none"/>
        </w:rPr>
        <w:t>(hợp đồng thiết kế, tư vấn, xây dựng, lắp đặt và cung cấp thiết bị, chuyển giao công nghệ</w:t>
      </w:r>
      <w:r>
        <w:rPr>
          <w:color w:val="auto"/>
          <w:u w:val="none"/>
        </w:rPr>
        <w:t>);</w:t>
      </w:r>
      <w:bookmarkStart w:id="0" w:name="_GoBack"/>
      <w:bookmarkEnd w:id="0"/>
    </w:p>
    <w:p w:rsidR="002E04CD" w:rsidRDefault="002E04CD" w:rsidP="00F34253">
      <w:pPr>
        <w:spacing w:after="0" w:line="288" w:lineRule="auto"/>
        <w:rPr>
          <w:color w:val="auto"/>
          <w:u w:val="none"/>
        </w:rPr>
      </w:pPr>
      <w:r w:rsidRPr="003B603C">
        <w:rPr>
          <w:color w:val="auto"/>
          <w:u w:val="none"/>
        </w:rPr>
        <w:t xml:space="preserve">13. Hồ sơ đất đai (bao gồm nhưng không hạn chế những tài liệu sau): </w:t>
      </w:r>
      <w:r>
        <w:rPr>
          <w:color w:val="auto"/>
          <w:u w:val="none"/>
        </w:rPr>
        <w:t xml:space="preserve">i) </w:t>
      </w:r>
      <w:r w:rsidRPr="003B603C">
        <w:rPr>
          <w:color w:val="auto"/>
          <w:u w:val="none"/>
        </w:rPr>
        <w:t xml:space="preserve">phê duyệt kế hoạch/quy hoạch tổng thể về đền bù, tái định cư và giải phóng mặt bằng; </w:t>
      </w:r>
      <w:r>
        <w:rPr>
          <w:color w:val="auto"/>
          <w:u w:val="none"/>
        </w:rPr>
        <w:t>ii</w:t>
      </w:r>
      <w:r w:rsidRPr="003B603C">
        <w:rPr>
          <w:color w:val="auto"/>
          <w:u w:val="none"/>
        </w:rPr>
        <w:t>) phê duyệt và thực hiện phương án bồi thường, hỗ trợ và tái định cư (bao gồm nội dung và tổng hợp các ý kiến đối với phương án bồi thường); (iii) quyết định thu hồi đất và giao đất, cho thuê đất</w:t>
      </w:r>
      <w:r>
        <w:rPr>
          <w:color w:val="auto"/>
          <w:u w:val="none"/>
        </w:rPr>
        <w:t>; iv) hợp đồng thuê đất.</w:t>
      </w:r>
    </w:p>
    <w:p w:rsidR="002E04CD" w:rsidRPr="004C0904" w:rsidRDefault="002E04CD" w:rsidP="00F34253">
      <w:pPr>
        <w:spacing w:after="0" w:line="288" w:lineRule="auto"/>
        <w:rPr>
          <w:color w:val="auto"/>
          <w:u w:val="none"/>
        </w:rPr>
      </w:pPr>
      <w:r>
        <w:rPr>
          <w:color w:val="auto"/>
          <w:u w:val="none"/>
        </w:rPr>
        <w:t xml:space="preserve">14. </w:t>
      </w:r>
      <w:r w:rsidRPr="004C0904">
        <w:rPr>
          <w:color w:val="auto"/>
          <w:u w:val="none"/>
        </w:rPr>
        <w:t>Tài liệu chứng minh về vốn đầu tư hoặc các nguồn vốn tham gia đầu tư dự</w:t>
      </w:r>
      <w:r>
        <w:rPr>
          <w:color w:val="auto"/>
          <w:u w:val="none"/>
        </w:rPr>
        <w:t xml:space="preserve"> án;</w:t>
      </w:r>
    </w:p>
    <w:p w:rsidR="002E04CD" w:rsidRPr="004C0904" w:rsidRDefault="002E04CD" w:rsidP="00F34253">
      <w:pPr>
        <w:tabs>
          <w:tab w:val="left" w:pos="1365"/>
        </w:tabs>
        <w:spacing w:after="0" w:line="288" w:lineRule="auto"/>
        <w:rPr>
          <w:color w:val="auto"/>
          <w:u w:val="none"/>
        </w:rPr>
      </w:pPr>
      <w:r w:rsidRPr="004C0904">
        <w:rPr>
          <w:color w:val="auto"/>
          <w:u w:val="none"/>
        </w:rPr>
        <w:t>1</w:t>
      </w:r>
      <w:r>
        <w:rPr>
          <w:color w:val="auto"/>
          <w:u w:val="none"/>
        </w:rPr>
        <w:t>5</w:t>
      </w:r>
      <w:r w:rsidRPr="004C0904">
        <w:rPr>
          <w:color w:val="auto"/>
          <w:u w:val="none"/>
        </w:rPr>
        <w:t>.  Giấy phép xây dự</w:t>
      </w:r>
      <w:r>
        <w:rPr>
          <w:color w:val="auto"/>
          <w:u w:val="none"/>
        </w:rPr>
        <w:t>ng;</w:t>
      </w:r>
    </w:p>
    <w:p w:rsidR="002E04CD" w:rsidRPr="004C0904" w:rsidRDefault="002E04CD" w:rsidP="00F34253">
      <w:pPr>
        <w:spacing w:after="0" w:line="288" w:lineRule="auto"/>
        <w:rPr>
          <w:color w:val="auto"/>
          <w:u w:val="none"/>
        </w:rPr>
      </w:pPr>
      <w:r>
        <w:rPr>
          <w:color w:val="auto"/>
          <w:u w:val="none"/>
        </w:rPr>
        <w:t>16</w:t>
      </w:r>
      <w:r w:rsidRPr="004C0904">
        <w:rPr>
          <w:color w:val="auto"/>
          <w:u w:val="none"/>
        </w:rPr>
        <w:t>. Giấy chứng nhận phòng cháy chữ</w:t>
      </w:r>
      <w:r>
        <w:rPr>
          <w:color w:val="auto"/>
          <w:u w:val="none"/>
        </w:rPr>
        <w:t>a cháy;</w:t>
      </w:r>
    </w:p>
    <w:p w:rsidR="002E04CD" w:rsidRPr="004C0904" w:rsidRDefault="002E04CD" w:rsidP="00F34253">
      <w:pPr>
        <w:spacing w:after="0" w:line="288" w:lineRule="auto"/>
        <w:rPr>
          <w:color w:val="auto"/>
          <w:u w:val="none"/>
        </w:rPr>
      </w:pPr>
      <w:r>
        <w:rPr>
          <w:color w:val="auto"/>
          <w:u w:val="none"/>
        </w:rPr>
        <w:t>17</w:t>
      </w:r>
      <w:r w:rsidRPr="004C0904">
        <w:rPr>
          <w:color w:val="auto"/>
          <w:u w:val="none"/>
        </w:rPr>
        <w:t>.</w:t>
      </w:r>
      <w:r w:rsidRPr="004C0904">
        <w:rPr>
          <w:color w:val="auto"/>
          <w:u w:val="none"/>
        </w:rPr>
        <w:tab/>
        <w:t>Các tài liệu khác liên quan đến dự án đầ</w:t>
      </w:r>
      <w:r>
        <w:rPr>
          <w:color w:val="auto"/>
          <w:u w:val="none"/>
        </w:rPr>
        <w:t>u tư.</w:t>
      </w:r>
    </w:p>
    <w:p w:rsidR="002E04CD" w:rsidRPr="004C0904" w:rsidRDefault="002E04CD" w:rsidP="00A772A3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contextualSpacing w:val="0"/>
        <w:rPr>
          <w:b/>
          <w:color w:val="auto"/>
          <w:u w:val="none"/>
        </w:rPr>
      </w:pPr>
      <w:r w:rsidRPr="004C0904">
        <w:rPr>
          <w:b/>
          <w:color w:val="auto"/>
          <w:u w:val="none"/>
        </w:rPr>
        <w:t>Hồ sơ tài chính</w:t>
      </w:r>
    </w:p>
    <w:p w:rsidR="002E04CD" w:rsidRPr="004C0904" w:rsidRDefault="002E04CD" w:rsidP="00F34253">
      <w:pPr>
        <w:spacing w:after="0" w:line="288" w:lineRule="auto"/>
        <w:ind w:left="426" w:firstLine="0"/>
        <w:rPr>
          <w:color w:val="auto"/>
          <w:u w:val="none"/>
        </w:rPr>
      </w:pPr>
      <w:r w:rsidRPr="004C0904">
        <w:rPr>
          <w:color w:val="auto"/>
          <w:u w:val="none"/>
        </w:rPr>
        <w:t>1. Các báo cáo tài chính ba năm gần nhất (đã được kiểm toán) và quý gần nhất:</w:t>
      </w:r>
    </w:p>
    <w:p w:rsidR="002E04CD" w:rsidRPr="004C0904" w:rsidRDefault="002E04CD" w:rsidP="00F34253">
      <w:pPr>
        <w:spacing w:after="0" w:line="288" w:lineRule="auto"/>
        <w:ind w:left="426" w:firstLine="294"/>
        <w:rPr>
          <w:color w:val="auto"/>
          <w:u w:val="none"/>
        </w:rPr>
      </w:pPr>
      <w:r w:rsidRPr="004C0904">
        <w:rPr>
          <w:color w:val="auto"/>
          <w:u w:val="none"/>
        </w:rPr>
        <w:t>+ Bảng cân đối kế toán</w:t>
      </w:r>
      <w:r>
        <w:rPr>
          <w:color w:val="auto"/>
          <w:u w:val="none"/>
        </w:rPr>
        <w:t>;</w:t>
      </w:r>
    </w:p>
    <w:p w:rsidR="002E04CD" w:rsidRPr="004C0904" w:rsidRDefault="002E04CD" w:rsidP="00F34253">
      <w:pPr>
        <w:spacing w:after="0" w:line="288" w:lineRule="auto"/>
        <w:ind w:left="426" w:firstLine="294"/>
        <w:rPr>
          <w:color w:val="auto"/>
          <w:u w:val="none"/>
        </w:rPr>
      </w:pPr>
      <w:r w:rsidRPr="004C0904">
        <w:rPr>
          <w:color w:val="auto"/>
          <w:u w:val="none"/>
        </w:rPr>
        <w:t>+ Báo cáo kết quả hoạt động sản xuấ</w:t>
      </w:r>
      <w:r>
        <w:rPr>
          <w:color w:val="auto"/>
          <w:u w:val="none"/>
        </w:rPr>
        <w:t>t kinh doanh;</w:t>
      </w:r>
    </w:p>
    <w:p w:rsidR="002E04CD" w:rsidRPr="004C0904" w:rsidRDefault="002E04CD" w:rsidP="00F34253">
      <w:pPr>
        <w:spacing w:after="0" w:line="288" w:lineRule="auto"/>
        <w:ind w:left="426" w:firstLine="294"/>
        <w:rPr>
          <w:color w:val="auto"/>
          <w:u w:val="none"/>
        </w:rPr>
      </w:pPr>
      <w:r w:rsidRPr="004C0904">
        <w:rPr>
          <w:color w:val="auto"/>
          <w:u w:val="none"/>
        </w:rPr>
        <w:t>+ Lưu chuyển tiền tệ</w:t>
      </w:r>
      <w:r>
        <w:rPr>
          <w:color w:val="auto"/>
          <w:u w:val="none"/>
        </w:rPr>
        <w:t>;</w:t>
      </w:r>
    </w:p>
    <w:p w:rsidR="002E04CD" w:rsidRPr="004C0904" w:rsidRDefault="002E04CD" w:rsidP="00F34253">
      <w:pPr>
        <w:spacing w:after="0" w:line="288" w:lineRule="auto"/>
        <w:ind w:left="426" w:firstLine="294"/>
        <w:rPr>
          <w:color w:val="auto"/>
          <w:u w:val="none"/>
        </w:rPr>
      </w:pPr>
      <w:r w:rsidRPr="004C0904">
        <w:rPr>
          <w:color w:val="auto"/>
          <w:u w:val="none"/>
        </w:rPr>
        <w:t>+ Thuyế</w:t>
      </w:r>
      <w:r>
        <w:rPr>
          <w:color w:val="auto"/>
          <w:u w:val="none"/>
        </w:rPr>
        <w:t>t minh báo cáo tài chính;</w:t>
      </w:r>
    </w:p>
    <w:p w:rsidR="002E04CD" w:rsidRPr="004C0904" w:rsidRDefault="002E04CD" w:rsidP="00F34253">
      <w:pPr>
        <w:spacing w:after="0" w:line="288" w:lineRule="auto"/>
        <w:ind w:left="426" w:firstLine="0"/>
        <w:rPr>
          <w:color w:val="auto"/>
          <w:u w:val="none"/>
        </w:rPr>
      </w:pPr>
      <w:r w:rsidRPr="004C0904">
        <w:rPr>
          <w:color w:val="auto"/>
          <w:u w:val="none"/>
        </w:rPr>
        <w:t>2.</w:t>
      </w:r>
      <w:r w:rsidRPr="004C0904">
        <w:rPr>
          <w:color w:val="auto"/>
          <w:u w:val="none"/>
        </w:rPr>
        <w:tab/>
        <w:t xml:space="preserve">Kế hoạch </w:t>
      </w:r>
      <w:r>
        <w:rPr>
          <w:color w:val="auto"/>
          <w:u w:val="none"/>
        </w:rPr>
        <w:t>tài chính</w:t>
      </w:r>
      <w:r w:rsidRPr="004C0904">
        <w:rPr>
          <w:color w:val="auto"/>
          <w:u w:val="none"/>
        </w:rPr>
        <w:t xml:space="preserve"> (số năm kế hoạch tương ứng với thời gian đề nghị vay vố</w:t>
      </w:r>
      <w:r>
        <w:rPr>
          <w:color w:val="auto"/>
          <w:u w:val="none"/>
        </w:rPr>
        <w:t>n);</w:t>
      </w:r>
    </w:p>
    <w:p w:rsidR="002E04CD" w:rsidRPr="004C0904" w:rsidRDefault="002E04CD" w:rsidP="00F34253">
      <w:pPr>
        <w:spacing w:after="0" w:line="288" w:lineRule="auto"/>
        <w:ind w:left="426" w:firstLine="0"/>
        <w:rPr>
          <w:color w:val="auto"/>
          <w:u w:val="none"/>
        </w:rPr>
      </w:pPr>
      <w:r>
        <w:rPr>
          <w:color w:val="auto"/>
          <w:u w:val="none"/>
        </w:rPr>
        <w:t>3</w:t>
      </w:r>
      <w:r w:rsidRPr="004C0904">
        <w:rPr>
          <w:color w:val="auto"/>
          <w:u w:val="none"/>
        </w:rPr>
        <w:t>.</w:t>
      </w:r>
      <w:r w:rsidRPr="004C0904">
        <w:rPr>
          <w:color w:val="auto"/>
          <w:u w:val="none"/>
        </w:rPr>
        <w:tab/>
        <w:t>Bảng kê các loại công nợ tại các tổ chức tín dụng trong và ngoài nước</w:t>
      </w:r>
      <w:r w:rsidRPr="00C774B7">
        <w:rPr>
          <w:color w:val="auto"/>
          <w:u w:val="none"/>
        </w:rPr>
        <w:t xml:space="preserve"> </w:t>
      </w:r>
      <w:r>
        <w:rPr>
          <w:color w:val="auto"/>
          <w:u w:val="none"/>
        </w:rPr>
        <w:t>(tại thời điểm vay vốn);</w:t>
      </w:r>
    </w:p>
    <w:p w:rsidR="002E04CD" w:rsidRPr="004C0904" w:rsidRDefault="002E04CD" w:rsidP="00F34253">
      <w:pPr>
        <w:spacing w:after="0" w:line="288" w:lineRule="auto"/>
        <w:ind w:left="426" w:firstLine="0"/>
        <w:rPr>
          <w:color w:val="auto"/>
          <w:u w:val="none"/>
        </w:rPr>
      </w:pPr>
      <w:r>
        <w:rPr>
          <w:color w:val="auto"/>
          <w:u w:val="none"/>
        </w:rPr>
        <w:t>4</w:t>
      </w:r>
      <w:r w:rsidRPr="004C0904">
        <w:rPr>
          <w:color w:val="auto"/>
          <w:u w:val="none"/>
        </w:rPr>
        <w:t>.</w:t>
      </w:r>
      <w:r w:rsidRPr="004C0904">
        <w:rPr>
          <w:color w:val="auto"/>
          <w:u w:val="none"/>
        </w:rPr>
        <w:tab/>
        <w:t xml:space="preserve">Bảng kê các khoản phải thu, phải trả </w:t>
      </w:r>
      <w:r>
        <w:rPr>
          <w:color w:val="auto"/>
          <w:u w:val="none"/>
        </w:rPr>
        <w:t>(tại thời điểm vay vốn);</w:t>
      </w:r>
    </w:p>
    <w:p w:rsidR="002E04CD" w:rsidRPr="004C0904" w:rsidRDefault="002E04CD" w:rsidP="00F34253">
      <w:pPr>
        <w:spacing w:after="0" w:line="288" w:lineRule="auto"/>
        <w:ind w:left="426" w:firstLine="0"/>
        <w:rPr>
          <w:color w:val="auto"/>
          <w:u w:val="none"/>
        </w:rPr>
      </w:pPr>
      <w:r>
        <w:rPr>
          <w:color w:val="auto"/>
          <w:u w:val="none"/>
        </w:rPr>
        <w:t>5</w:t>
      </w:r>
      <w:r w:rsidRPr="004C0904">
        <w:rPr>
          <w:color w:val="auto"/>
          <w:u w:val="none"/>
        </w:rPr>
        <w:t>.</w:t>
      </w:r>
      <w:r w:rsidRPr="004C0904">
        <w:rPr>
          <w:color w:val="auto"/>
          <w:u w:val="none"/>
        </w:rPr>
        <w:tab/>
        <w:t>Các hợp đồng kinh tế</w:t>
      </w:r>
      <w:r>
        <w:rPr>
          <w:color w:val="auto"/>
          <w:u w:val="none"/>
        </w:rPr>
        <w:t xml:space="preserve"> ký với đơn vị thuê lại đất khu công nghiệp;</w:t>
      </w:r>
    </w:p>
    <w:p w:rsidR="002E04CD" w:rsidRPr="004C0904" w:rsidRDefault="002E04CD" w:rsidP="00F34253">
      <w:pPr>
        <w:spacing w:after="0" w:line="288" w:lineRule="auto"/>
        <w:ind w:left="426" w:firstLine="0"/>
        <w:rPr>
          <w:color w:val="auto"/>
          <w:u w:val="none"/>
        </w:rPr>
      </w:pPr>
      <w:r>
        <w:rPr>
          <w:color w:val="auto"/>
          <w:u w:val="none"/>
        </w:rPr>
        <w:t>6</w:t>
      </w:r>
      <w:r w:rsidRPr="004C0904">
        <w:rPr>
          <w:color w:val="auto"/>
          <w:u w:val="none"/>
        </w:rPr>
        <w:t>.</w:t>
      </w:r>
      <w:r w:rsidRPr="004C0904">
        <w:rPr>
          <w:color w:val="auto"/>
          <w:u w:val="none"/>
        </w:rPr>
        <w:tab/>
        <w:t>Phương án sản xuất kinh doanh, khả năng vay trả, nguồn trả</w:t>
      </w:r>
      <w:r>
        <w:rPr>
          <w:color w:val="auto"/>
          <w:u w:val="none"/>
        </w:rPr>
        <w:t>;</w:t>
      </w:r>
    </w:p>
    <w:p w:rsidR="002E04CD" w:rsidRPr="004C0904" w:rsidRDefault="002E04CD" w:rsidP="00F34253">
      <w:pPr>
        <w:spacing w:after="0" w:line="288" w:lineRule="auto"/>
        <w:ind w:left="426" w:firstLine="0"/>
        <w:rPr>
          <w:color w:val="auto"/>
          <w:u w:val="none"/>
        </w:rPr>
      </w:pPr>
      <w:r>
        <w:rPr>
          <w:color w:val="auto"/>
          <w:u w:val="none"/>
        </w:rPr>
        <w:t>7</w:t>
      </w:r>
      <w:r w:rsidRPr="004C0904">
        <w:rPr>
          <w:color w:val="auto"/>
          <w:u w:val="none"/>
        </w:rPr>
        <w:t xml:space="preserve">. </w:t>
      </w:r>
      <w:r>
        <w:rPr>
          <w:color w:val="auto"/>
          <w:u w:val="none"/>
        </w:rPr>
        <w:t>Bảng sao kê số dư t</w:t>
      </w:r>
      <w:r w:rsidRPr="004C0904">
        <w:rPr>
          <w:color w:val="auto"/>
          <w:u w:val="none"/>
        </w:rPr>
        <w:t>ài khoản tiền gửi ngắn hạn và dài hạn t</w:t>
      </w:r>
      <w:r>
        <w:rPr>
          <w:color w:val="auto"/>
          <w:u w:val="none"/>
        </w:rPr>
        <w:t>ạ</w:t>
      </w:r>
      <w:r w:rsidRPr="004C0904">
        <w:rPr>
          <w:color w:val="auto"/>
          <w:u w:val="none"/>
        </w:rPr>
        <w:t>i các tổ chức tín dụng</w:t>
      </w:r>
      <w:r>
        <w:rPr>
          <w:color w:val="auto"/>
          <w:u w:val="none"/>
        </w:rPr>
        <w:t>;</w:t>
      </w:r>
    </w:p>
    <w:p w:rsidR="002E04CD" w:rsidRPr="00F34253" w:rsidRDefault="002E04CD" w:rsidP="00F34253">
      <w:pPr>
        <w:spacing w:after="0" w:line="288" w:lineRule="auto"/>
        <w:ind w:left="426" w:firstLine="0"/>
        <w:rPr>
          <w:color w:val="auto"/>
          <w:u w:val="none"/>
        </w:rPr>
      </w:pPr>
      <w:r>
        <w:rPr>
          <w:color w:val="auto"/>
          <w:u w:val="none"/>
        </w:rPr>
        <w:t xml:space="preserve">8. </w:t>
      </w:r>
      <w:r w:rsidRPr="00F34253">
        <w:rPr>
          <w:color w:val="auto"/>
          <w:u w:val="none"/>
        </w:rPr>
        <w:t>Thư cam kết của chủ sở hữu/công ty mẹ sẽ trả nợ thay nếu Bên vay mất khả năng chi trả? (Áp dụng đối với các KCN mới hoặc đang được đầu tư)</w:t>
      </w:r>
      <w:r>
        <w:rPr>
          <w:color w:val="auto"/>
          <w:u w:val="none"/>
        </w:rPr>
        <w:t>.</w:t>
      </w:r>
    </w:p>
    <w:p w:rsidR="002E04CD" w:rsidRPr="004C0904" w:rsidRDefault="002E04CD" w:rsidP="00A772A3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contextualSpacing w:val="0"/>
        <w:rPr>
          <w:b/>
          <w:color w:val="auto"/>
          <w:u w:val="none"/>
        </w:rPr>
      </w:pPr>
      <w:r w:rsidRPr="004C0904">
        <w:rPr>
          <w:b/>
          <w:color w:val="auto"/>
          <w:u w:val="none"/>
        </w:rPr>
        <w:t>Hồ sơ bảo đảm tiền vay</w:t>
      </w:r>
    </w:p>
    <w:p w:rsidR="002E04CD" w:rsidRPr="004C0904" w:rsidRDefault="002E04CD" w:rsidP="00F34253">
      <w:pPr>
        <w:spacing w:after="0" w:line="288" w:lineRule="auto"/>
        <w:ind w:left="426" w:firstLine="0"/>
        <w:rPr>
          <w:color w:val="auto"/>
          <w:u w:val="none"/>
        </w:rPr>
      </w:pPr>
      <w:r w:rsidRPr="004C0904">
        <w:rPr>
          <w:color w:val="auto"/>
          <w:u w:val="none"/>
        </w:rPr>
        <w:t xml:space="preserve">Tài sản hình thành từ </w:t>
      </w:r>
      <w:r>
        <w:rPr>
          <w:color w:val="auto"/>
          <w:u w:val="none"/>
        </w:rPr>
        <w:t xml:space="preserve">vốn vay </w:t>
      </w:r>
      <w:r w:rsidRPr="004C0904">
        <w:rPr>
          <w:color w:val="auto"/>
          <w:u w:val="none"/>
        </w:rPr>
        <w:t xml:space="preserve">là tài sản thế chấp bao gồm </w:t>
      </w:r>
      <w:r>
        <w:rPr>
          <w:color w:val="auto"/>
          <w:u w:val="none"/>
        </w:rPr>
        <w:t xml:space="preserve">trạm xử lý nước thải và đất </w:t>
      </w:r>
      <w:r w:rsidRPr="004C0904">
        <w:rPr>
          <w:color w:val="auto"/>
          <w:u w:val="none"/>
        </w:rPr>
        <w:t xml:space="preserve"> </w:t>
      </w:r>
      <w:r>
        <w:rPr>
          <w:color w:val="auto"/>
          <w:u w:val="none"/>
        </w:rPr>
        <w:t xml:space="preserve">xây dựng trạm xử lý nước thải, các </w:t>
      </w:r>
      <w:r w:rsidRPr="004C0904">
        <w:rPr>
          <w:color w:val="auto"/>
          <w:u w:val="none"/>
        </w:rPr>
        <w:t>thiết bị, hạng mục xây dựng, công nghệ, hệ thống phụ trợ</w:t>
      </w:r>
      <w:r>
        <w:rPr>
          <w:color w:val="auto"/>
          <w:u w:val="none"/>
        </w:rPr>
        <w:t>, trạm quan trắc tự động (AMS)</w:t>
      </w:r>
      <w:r w:rsidRPr="004C0904">
        <w:rPr>
          <w:color w:val="auto"/>
          <w:u w:val="none"/>
        </w:rPr>
        <w:t xml:space="preserve"> và đường ống thu gom nước thải</w:t>
      </w:r>
      <w:r>
        <w:rPr>
          <w:color w:val="auto"/>
          <w:u w:val="none"/>
        </w:rPr>
        <w:t xml:space="preserve"> của trạm</w:t>
      </w:r>
      <w:r w:rsidRPr="00C774B7">
        <w:rPr>
          <w:color w:val="auto"/>
          <w:u w:val="none"/>
        </w:rPr>
        <w:t xml:space="preserve"> </w:t>
      </w:r>
      <w:r w:rsidRPr="004C0904">
        <w:rPr>
          <w:color w:val="auto"/>
          <w:u w:val="none"/>
        </w:rPr>
        <w:t xml:space="preserve">xử lý nước thải. Các </w:t>
      </w:r>
      <w:r>
        <w:rPr>
          <w:color w:val="auto"/>
          <w:u w:val="none"/>
        </w:rPr>
        <w:t xml:space="preserve">giấy tờ </w:t>
      </w:r>
      <w:r w:rsidRPr="004C0904">
        <w:rPr>
          <w:color w:val="auto"/>
          <w:u w:val="none"/>
        </w:rPr>
        <w:t>sau đây cần thiết cho việc thẩm định tài sản bảo đảm:</w:t>
      </w:r>
    </w:p>
    <w:p w:rsidR="002E04CD" w:rsidRPr="004C0904" w:rsidRDefault="002E04CD" w:rsidP="00F34253">
      <w:pPr>
        <w:spacing w:after="0" w:line="288" w:lineRule="auto"/>
        <w:rPr>
          <w:color w:val="auto"/>
          <w:u w:val="none"/>
        </w:rPr>
      </w:pPr>
      <w:r w:rsidRPr="004C0904">
        <w:rPr>
          <w:color w:val="auto"/>
          <w:u w:val="none"/>
        </w:rPr>
        <w:t>1. Giấy chứng nhận quyền sở hữu đất</w:t>
      </w:r>
      <w:r>
        <w:rPr>
          <w:color w:val="auto"/>
          <w:u w:val="none"/>
        </w:rPr>
        <w:t>;</w:t>
      </w:r>
    </w:p>
    <w:p w:rsidR="002E04CD" w:rsidRPr="004C0904" w:rsidRDefault="002E04CD" w:rsidP="00F34253">
      <w:pPr>
        <w:spacing w:after="0" w:line="288" w:lineRule="auto"/>
        <w:rPr>
          <w:color w:val="auto"/>
          <w:u w:val="none"/>
        </w:rPr>
      </w:pPr>
      <w:r w:rsidRPr="004C0904">
        <w:rPr>
          <w:color w:val="auto"/>
          <w:u w:val="none"/>
        </w:rPr>
        <w:t xml:space="preserve">2. </w:t>
      </w:r>
      <w:r>
        <w:rPr>
          <w:color w:val="auto"/>
          <w:u w:val="none"/>
        </w:rPr>
        <w:t>Biên bản định giá tài sản bảo đảm;</w:t>
      </w:r>
    </w:p>
    <w:p w:rsidR="002E04CD" w:rsidRPr="004C0904" w:rsidRDefault="002E04CD" w:rsidP="00F34253">
      <w:pPr>
        <w:spacing w:after="0" w:line="288" w:lineRule="auto"/>
        <w:rPr>
          <w:color w:val="auto"/>
          <w:u w:val="none"/>
        </w:rPr>
      </w:pPr>
      <w:r w:rsidRPr="004C0904">
        <w:rPr>
          <w:color w:val="auto"/>
          <w:u w:val="none"/>
        </w:rPr>
        <w:t>3. Các giấy tờ</w:t>
      </w:r>
      <w:r>
        <w:rPr>
          <w:color w:val="auto"/>
          <w:u w:val="none"/>
        </w:rPr>
        <w:t xml:space="preserve"> khác có liên quan.</w:t>
      </w:r>
    </w:p>
    <w:sectPr w:rsidR="002E04CD" w:rsidRPr="004C0904" w:rsidSect="004C0904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CD" w:rsidRDefault="002E04CD" w:rsidP="00BE3938">
      <w:pPr>
        <w:spacing w:after="0" w:line="240" w:lineRule="auto"/>
      </w:pPr>
      <w:r>
        <w:separator/>
      </w:r>
    </w:p>
  </w:endnote>
  <w:endnote w:type="continuationSeparator" w:id="0">
    <w:p w:rsidR="002E04CD" w:rsidRDefault="002E04CD" w:rsidP="00BE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CD" w:rsidRPr="00A772A3" w:rsidRDefault="002E04CD">
    <w:pPr>
      <w:pStyle w:val="Footer"/>
      <w:jc w:val="right"/>
      <w:rPr>
        <w:sz w:val="20"/>
        <w:szCs w:val="20"/>
        <w:u w:val="none"/>
      </w:rPr>
    </w:pPr>
    <w:r w:rsidRPr="00A772A3">
      <w:rPr>
        <w:sz w:val="20"/>
        <w:szCs w:val="20"/>
        <w:u w:val="none"/>
      </w:rPr>
      <w:fldChar w:fldCharType="begin"/>
    </w:r>
    <w:r w:rsidRPr="00A772A3">
      <w:rPr>
        <w:sz w:val="20"/>
        <w:szCs w:val="20"/>
        <w:u w:val="none"/>
      </w:rPr>
      <w:instrText xml:space="preserve"> PAGE   \* MERGEFORMAT </w:instrText>
    </w:r>
    <w:r w:rsidRPr="00A772A3">
      <w:rPr>
        <w:sz w:val="20"/>
        <w:szCs w:val="20"/>
        <w:u w:val="none"/>
      </w:rPr>
      <w:fldChar w:fldCharType="separate"/>
    </w:r>
    <w:r>
      <w:rPr>
        <w:noProof/>
        <w:sz w:val="20"/>
        <w:szCs w:val="20"/>
        <w:u w:val="none"/>
      </w:rPr>
      <w:t>1</w:t>
    </w:r>
    <w:r w:rsidRPr="00A772A3">
      <w:rPr>
        <w:sz w:val="20"/>
        <w:szCs w:val="20"/>
        <w:u w:val="none"/>
      </w:rPr>
      <w:fldChar w:fldCharType="end"/>
    </w:r>
  </w:p>
  <w:p w:rsidR="002E04CD" w:rsidRPr="00A772A3" w:rsidRDefault="002E04CD" w:rsidP="00A772A3">
    <w:pPr>
      <w:pStyle w:val="Footer"/>
      <w:jc w:val="right"/>
      <w:rPr>
        <w:sz w:val="20"/>
        <w:szCs w:val="20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CD" w:rsidRDefault="002E04CD" w:rsidP="00BE3938">
      <w:pPr>
        <w:spacing w:after="0" w:line="240" w:lineRule="auto"/>
      </w:pPr>
      <w:r>
        <w:separator/>
      </w:r>
    </w:p>
  </w:footnote>
  <w:footnote w:type="continuationSeparator" w:id="0">
    <w:p w:rsidR="002E04CD" w:rsidRDefault="002E04CD" w:rsidP="00BE3938">
      <w:pPr>
        <w:spacing w:after="0" w:line="240" w:lineRule="auto"/>
      </w:pPr>
      <w:r>
        <w:continuationSeparator/>
      </w:r>
    </w:p>
  </w:footnote>
  <w:footnote w:id="1">
    <w:p w:rsidR="002E04CD" w:rsidRDefault="002E04CD" w:rsidP="00F63D5E">
      <w:pPr>
        <w:pStyle w:val="FootnoteText"/>
        <w:ind w:left="490" w:hanging="133"/>
      </w:pPr>
      <w:r w:rsidRPr="00AA1CE5">
        <w:rPr>
          <w:rStyle w:val="FootnoteReference"/>
          <w:u w:val="none"/>
        </w:rPr>
        <w:footnoteRef/>
      </w:r>
      <w:r w:rsidRPr="00AA1CE5">
        <w:rPr>
          <w:u w:val="none"/>
        </w:rPr>
        <w:t xml:space="preserve"> Đơn vị hạch toán kinh tế phụ thuộc phải có văn bản uỷ quyền vay vốn của đại diện pháp nhân. Nội dung uỷ quyền phải thể hiện rõ: mức dư nợ cao nhất, thời hạn vay vốn, mục đích vay vốn và cam kết trả nợ thay khi đơn vị phụ thuộc không trả được nợ.</w:t>
      </w:r>
    </w:p>
  </w:footnote>
  <w:footnote w:id="2">
    <w:p w:rsidR="002E04CD" w:rsidRDefault="002E04CD">
      <w:pPr>
        <w:pStyle w:val="FootnoteText"/>
      </w:pPr>
      <w:r w:rsidRPr="00AA1CE5">
        <w:rPr>
          <w:rStyle w:val="FootnoteReference"/>
          <w:u w:val="none"/>
        </w:rPr>
        <w:footnoteRef/>
      </w:r>
      <w:r w:rsidRPr="00AA1CE5">
        <w:rPr>
          <w:u w:val="none"/>
        </w:rPr>
        <w:t xml:space="preserve"> Thông thường do Công ty mẹ/chủ sở hữu phê duyệt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7361"/>
    <w:multiLevelType w:val="hybridMultilevel"/>
    <w:tmpl w:val="487C4AAC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1D85AE1"/>
    <w:multiLevelType w:val="hybridMultilevel"/>
    <w:tmpl w:val="D0D8AD86"/>
    <w:lvl w:ilvl="0" w:tplc="F5EAD29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65DB3EFF"/>
    <w:multiLevelType w:val="hybridMultilevel"/>
    <w:tmpl w:val="1362F572"/>
    <w:lvl w:ilvl="0" w:tplc="04090013">
      <w:start w:val="1"/>
      <w:numFmt w:val="upperRoman"/>
      <w:lvlText w:val="%1."/>
      <w:lvlJc w:val="right"/>
      <w:pPr>
        <w:ind w:left="107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8BB"/>
    <w:rsid w:val="00002892"/>
    <w:rsid w:val="000A6686"/>
    <w:rsid w:val="000D3895"/>
    <w:rsid w:val="001137E5"/>
    <w:rsid w:val="001155BD"/>
    <w:rsid w:val="00136ED8"/>
    <w:rsid w:val="0019527D"/>
    <w:rsid w:val="001A1B5D"/>
    <w:rsid w:val="001B5EEC"/>
    <w:rsid w:val="001E7BDA"/>
    <w:rsid w:val="002050FA"/>
    <w:rsid w:val="0025355F"/>
    <w:rsid w:val="0026424C"/>
    <w:rsid w:val="002808BB"/>
    <w:rsid w:val="002B7636"/>
    <w:rsid w:val="002E04CD"/>
    <w:rsid w:val="0033076D"/>
    <w:rsid w:val="0034320E"/>
    <w:rsid w:val="003461C2"/>
    <w:rsid w:val="003543A4"/>
    <w:rsid w:val="003861B4"/>
    <w:rsid w:val="003A5008"/>
    <w:rsid w:val="003A77FC"/>
    <w:rsid w:val="003B603C"/>
    <w:rsid w:val="003E7BC8"/>
    <w:rsid w:val="00407A63"/>
    <w:rsid w:val="00431002"/>
    <w:rsid w:val="0044155D"/>
    <w:rsid w:val="004B374F"/>
    <w:rsid w:val="004C0904"/>
    <w:rsid w:val="004D38FA"/>
    <w:rsid w:val="004D5B36"/>
    <w:rsid w:val="004E3003"/>
    <w:rsid w:val="004F397C"/>
    <w:rsid w:val="005372B1"/>
    <w:rsid w:val="00556E9A"/>
    <w:rsid w:val="005677DD"/>
    <w:rsid w:val="00577B73"/>
    <w:rsid w:val="005803D7"/>
    <w:rsid w:val="00590B5D"/>
    <w:rsid w:val="005A7D2B"/>
    <w:rsid w:val="005D6000"/>
    <w:rsid w:val="00610122"/>
    <w:rsid w:val="00636AE8"/>
    <w:rsid w:val="006619D5"/>
    <w:rsid w:val="006B278C"/>
    <w:rsid w:val="007175F6"/>
    <w:rsid w:val="00761AF7"/>
    <w:rsid w:val="00765B0B"/>
    <w:rsid w:val="007A7070"/>
    <w:rsid w:val="007B4BCF"/>
    <w:rsid w:val="007F05C6"/>
    <w:rsid w:val="00821139"/>
    <w:rsid w:val="00873670"/>
    <w:rsid w:val="008F7D90"/>
    <w:rsid w:val="00901976"/>
    <w:rsid w:val="00952E19"/>
    <w:rsid w:val="00984DA4"/>
    <w:rsid w:val="009D354E"/>
    <w:rsid w:val="00A10A8D"/>
    <w:rsid w:val="00A40CE8"/>
    <w:rsid w:val="00A772A3"/>
    <w:rsid w:val="00A8020A"/>
    <w:rsid w:val="00A92BE2"/>
    <w:rsid w:val="00AA1CE5"/>
    <w:rsid w:val="00AA4611"/>
    <w:rsid w:val="00AC637E"/>
    <w:rsid w:val="00AE4D70"/>
    <w:rsid w:val="00B14E7B"/>
    <w:rsid w:val="00B6758F"/>
    <w:rsid w:val="00B95FC2"/>
    <w:rsid w:val="00BA14E1"/>
    <w:rsid w:val="00BC295A"/>
    <w:rsid w:val="00BE3938"/>
    <w:rsid w:val="00BF45CE"/>
    <w:rsid w:val="00C5203D"/>
    <w:rsid w:val="00C774B7"/>
    <w:rsid w:val="00C9606D"/>
    <w:rsid w:val="00D13C5B"/>
    <w:rsid w:val="00DA0339"/>
    <w:rsid w:val="00DD427F"/>
    <w:rsid w:val="00DE30B1"/>
    <w:rsid w:val="00DF7C28"/>
    <w:rsid w:val="00E0710B"/>
    <w:rsid w:val="00E46E11"/>
    <w:rsid w:val="00E77D53"/>
    <w:rsid w:val="00EB5DCE"/>
    <w:rsid w:val="00EC00B9"/>
    <w:rsid w:val="00ED7A18"/>
    <w:rsid w:val="00EF2FD1"/>
    <w:rsid w:val="00F01A85"/>
    <w:rsid w:val="00F34253"/>
    <w:rsid w:val="00F60EB0"/>
    <w:rsid w:val="00F63D5E"/>
    <w:rsid w:val="00F758CD"/>
    <w:rsid w:val="00F81B2B"/>
    <w:rsid w:val="00FD53E7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8F"/>
    <w:pPr>
      <w:spacing w:after="200" w:line="312" w:lineRule="auto"/>
      <w:ind w:left="714" w:hanging="357"/>
      <w:jc w:val="both"/>
    </w:pPr>
    <w:rPr>
      <w:color w:val="0000FF"/>
      <w:sz w:val="24"/>
      <w:u w:val="word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2BE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E39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393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393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2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72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578</Words>
  <Characters>3296</Characters>
  <Application>Microsoft Office Outlook</Application>
  <DocSecurity>0</DocSecurity>
  <Lines>0</Lines>
  <Paragraphs>0</Paragraphs>
  <ScaleCrop>false</ScaleCrop>
  <Company>VEPF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5</dc:title>
  <dc:subject/>
  <dc:creator>HaiLam</dc:creator>
  <cp:keywords/>
  <dc:description/>
  <cp:lastModifiedBy>Admin</cp:lastModifiedBy>
  <cp:revision>2</cp:revision>
  <dcterms:created xsi:type="dcterms:W3CDTF">2013-11-25T06:48:00Z</dcterms:created>
  <dcterms:modified xsi:type="dcterms:W3CDTF">2013-11-25T06:48:00Z</dcterms:modified>
</cp:coreProperties>
</file>